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1F7D7E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  <w:r w:rsidR="003A64D3">
        <w:rPr>
          <w:rFonts w:ascii="Times" w:eastAsia="Times New Roman" w:hAnsi="Times" w:cs="Times"/>
          <w:b/>
          <w:bCs/>
          <w:color w:val="000000"/>
          <w:lang w:eastAsia="ru-RU"/>
        </w:rPr>
        <w:t xml:space="preserve"> - ПРОФЕССИОНАЛИТЕТ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1F7D7E" w:rsidRDefault="00D41F9A" w:rsidP="001F7D7E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  <w:r w:rsidR="001F7D7E">
        <w:rPr>
          <w:b/>
          <w:sz w:val="24"/>
          <w:szCs w:val="24"/>
        </w:rPr>
        <w:t xml:space="preserve"> </w:t>
      </w:r>
      <w:r w:rsidR="003A64D3">
        <w:rPr>
          <w:b/>
          <w:bCs/>
          <w:sz w:val="24"/>
          <w:szCs w:val="24"/>
        </w:rPr>
        <w:t>15.02.16</w:t>
      </w:r>
      <w:r w:rsidR="001F7D7E" w:rsidRPr="001F7D7E">
        <w:rPr>
          <w:b/>
          <w:bCs/>
          <w:sz w:val="24"/>
          <w:szCs w:val="24"/>
        </w:rPr>
        <w:t xml:space="preserve"> «Технология машиностроения»</w:t>
      </w:r>
      <w:r w:rsidR="001F7D7E" w:rsidRPr="001F7D7E">
        <w:rPr>
          <w:b/>
          <w:sz w:val="24"/>
          <w:szCs w:val="24"/>
        </w:rPr>
        <w:t xml:space="preserve"> </w:t>
      </w:r>
    </w:p>
    <w:p w:rsid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1F7D7E">
        <w:rPr>
          <w:b/>
          <w:sz w:val="24"/>
          <w:szCs w:val="24"/>
        </w:rPr>
        <w:t xml:space="preserve"> профессиональной </w:t>
      </w:r>
      <w:r w:rsidRPr="00B102F8">
        <w:rPr>
          <w:b/>
          <w:sz w:val="24"/>
          <w:szCs w:val="24"/>
        </w:rPr>
        <w:t>образовательной программы</w:t>
      </w:r>
    </w:p>
    <w:p w:rsidR="003A64D3" w:rsidRPr="00B102F8" w:rsidRDefault="003A64D3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proofErr w:type="gramStart"/>
      <w:r w:rsidRPr="003A64D3">
        <w:rPr>
          <w:sz w:val="24"/>
          <w:szCs w:val="24"/>
        </w:rPr>
        <w:t xml:space="preserve">Настоящая основная образовательная программа «ПРОФЕССИОНАЛИТЕТ» (Далее ООП-П) по специальности среднего профессионального образования (далее – ООП-П, ООП-П СПО) разработана с применением новой технологии разработки образовательных программ под запросы работодателей и экономики в соответствии с требованиями федерального государственного образовательного стандарта среднего общего образования (Приказ Министерства образования и науки РФ от 17 мая 2012 г. N 413) </w:t>
      </w:r>
      <w:r>
        <w:rPr>
          <w:sz w:val="24"/>
          <w:szCs w:val="24"/>
        </w:rPr>
        <w:t xml:space="preserve">на основе </w:t>
      </w:r>
      <w:r w:rsidRPr="003A64D3">
        <w:rPr>
          <w:sz w:val="24"/>
          <w:szCs w:val="24"/>
        </w:rPr>
        <w:t>федерального государственного образовательного стандарта среднего</w:t>
      </w:r>
      <w:proofErr w:type="gramEnd"/>
      <w:r w:rsidRPr="003A64D3">
        <w:rPr>
          <w:sz w:val="24"/>
          <w:szCs w:val="24"/>
        </w:rPr>
        <w:t xml:space="preserve"> профессионального образования по специальности 15.02.16 Технология машиностроения, утвержденного Приказом </w:t>
      </w:r>
      <w:proofErr w:type="spellStart"/>
      <w:r w:rsidRPr="003A64D3">
        <w:rPr>
          <w:sz w:val="24"/>
          <w:szCs w:val="24"/>
        </w:rPr>
        <w:t>Минпросвещения</w:t>
      </w:r>
      <w:proofErr w:type="spellEnd"/>
      <w:r w:rsidRPr="003A64D3">
        <w:rPr>
          <w:sz w:val="24"/>
          <w:szCs w:val="24"/>
        </w:rPr>
        <w:t xml:space="preserve"> России от 14 июня 2022 г. № 444. ООП-П определяет объем и содержание среднего профессионального образования по специальности 15.02.16 Технология машиностроения, планируемые результаты освоения образовательной программы, условия образовательной деятельности. ООП-П содержит обязательную часть образовательной программы для работодателя и предполагает вариативность для сетевой формы реализации образовательной программы</w:t>
      </w:r>
      <w:r>
        <w:t>.</w:t>
      </w:r>
    </w:p>
    <w:p w:rsidR="003A64D3" w:rsidRPr="003A64D3" w:rsidRDefault="001F7D7E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r w:rsidRPr="001F7D7E">
        <w:rPr>
          <w:sz w:val="24"/>
          <w:szCs w:val="24"/>
        </w:rPr>
        <w:t>Основная образовательная программа по специальности среднего профессионального образования  15.02.</w:t>
      </w:r>
      <w:r w:rsidR="003A64D3">
        <w:rPr>
          <w:sz w:val="24"/>
          <w:szCs w:val="24"/>
        </w:rPr>
        <w:t>16</w:t>
      </w:r>
      <w:r w:rsidRPr="001F7D7E">
        <w:rPr>
          <w:sz w:val="24"/>
          <w:szCs w:val="24"/>
        </w:rPr>
        <w:t xml:space="preserve"> «Технология машиностроения» 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  <w:r w:rsidR="003A64D3" w:rsidRPr="003A64D3">
        <w:t xml:space="preserve"> </w:t>
      </w:r>
    </w:p>
    <w:p w:rsidR="001F7D7E" w:rsidRPr="001F7D7E" w:rsidRDefault="003A64D3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ООП-П </w:t>
      </w:r>
      <w:proofErr w:type="gramStart"/>
      <w:r w:rsidRPr="003A64D3">
        <w:rPr>
          <w:sz w:val="24"/>
          <w:szCs w:val="24"/>
        </w:rPr>
        <w:t>разработана</w:t>
      </w:r>
      <w:proofErr w:type="gramEnd"/>
      <w:r w:rsidRPr="003A64D3">
        <w:rPr>
          <w:sz w:val="24"/>
          <w:szCs w:val="24"/>
        </w:rPr>
        <w:t xml:space="preserve">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При разработке образовательной программы учитывают сквозную реализацию общеобразовательных дисциплин.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</w:t>
      </w:r>
      <w:r w:rsidRPr="003A64D3">
        <w:rPr>
          <w:sz w:val="24"/>
          <w:szCs w:val="24"/>
        </w:rPr>
        <w:lastRenderedPageBreak/>
        <w:t xml:space="preserve">технологий. Квалификация, присваиваемая выпускникам образовательной программы: «техник-технолог».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Выпускник образовательной программы по квалификации «техник-технолог» осваивает общие виды деятельности: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разработка технологических процессов изготовления деталей машин;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разработка и внедрение управляющих программ изготовления деталей машин в машиностроительном производстве; - разработка и реализация технологических процессов в механосборочном производстве;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организация контроля, наладки и технического обслуживания оборудования машиностроительного производства;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- организация работ по реализации технологических </w:t>
      </w:r>
      <w:r>
        <w:rPr>
          <w:sz w:val="24"/>
          <w:szCs w:val="24"/>
        </w:rPr>
        <w:t xml:space="preserve">процессов в машиностроительном </w:t>
      </w:r>
      <w:r w:rsidRPr="003A64D3">
        <w:rPr>
          <w:sz w:val="24"/>
          <w:szCs w:val="24"/>
        </w:rPr>
        <w:t xml:space="preserve"> производстве;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 междисциплинарные модули: 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>- чтение чертежей и осуществление технического контроля;</w:t>
      </w:r>
    </w:p>
    <w:p w:rsidR="003A64D3" w:rsidRDefault="003A64D3" w:rsidP="003A64D3">
      <w:pPr>
        <w:suppressAutoHyphens w:val="0"/>
        <w:ind w:firstLine="708"/>
        <w:rPr>
          <w:sz w:val="24"/>
          <w:szCs w:val="24"/>
        </w:rPr>
      </w:pPr>
      <w:r w:rsidRPr="003A64D3">
        <w:rPr>
          <w:sz w:val="24"/>
          <w:szCs w:val="24"/>
        </w:rPr>
        <w:t xml:space="preserve"> - расчет и разработка технологической документации</w:t>
      </w:r>
    </w:p>
    <w:p w:rsidR="001F7D7E" w:rsidRPr="001F7D7E" w:rsidRDefault="001F7D7E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proofErr w:type="gramStart"/>
      <w:r w:rsidRPr="001F7D7E">
        <w:rPr>
          <w:sz w:val="24"/>
          <w:szCs w:val="24"/>
        </w:rPr>
        <w:t>Образовательная программа подготовки специалистов среднего звена по специальности 15.02.</w:t>
      </w:r>
      <w:r w:rsidR="003A64D3">
        <w:rPr>
          <w:sz w:val="24"/>
          <w:szCs w:val="24"/>
        </w:rPr>
        <w:t>16</w:t>
      </w:r>
      <w:r w:rsidRPr="001F7D7E">
        <w:rPr>
          <w:sz w:val="24"/>
          <w:szCs w:val="24"/>
        </w:rPr>
        <w:t xml:space="preserve"> «Технология машиностроения» 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«Техник</w:t>
      </w:r>
      <w:r w:rsidR="003A64D3">
        <w:rPr>
          <w:sz w:val="24"/>
          <w:szCs w:val="24"/>
        </w:rPr>
        <w:t>-технолог</w:t>
      </w:r>
      <w:r w:rsidRPr="001F7D7E">
        <w:rPr>
          <w:sz w:val="24"/>
          <w:szCs w:val="24"/>
        </w:rPr>
        <w:t xml:space="preserve">» и включает в себя: учебный план, календарный учебный график, </w:t>
      </w:r>
      <w:r w:rsidR="003A64D3">
        <w:rPr>
          <w:sz w:val="24"/>
          <w:szCs w:val="24"/>
        </w:rPr>
        <w:t xml:space="preserve">модель компетенций выпускника, </w:t>
      </w:r>
      <w:r w:rsidRPr="001F7D7E">
        <w:rPr>
          <w:sz w:val="24"/>
          <w:szCs w:val="24"/>
        </w:rPr>
        <w:t>программы учебных курсов, дисциплин (модулей),  программы  практик, программу ГИА, оценочные материалы, методические материалы, рабочую программу воспитания, включая календа</w:t>
      </w:r>
      <w:r w:rsidR="003A64D3">
        <w:rPr>
          <w:sz w:val="24"/>
          <w:szCs w:val="24"/>
        </w:rPr>
        <w:t>рный план</w:t>
      </w:r>
      <w:proofErr w:type="gramEnd"/>
      <w:r w:rsidR="003A64D3">
        <w:rPr>
          <w:sz w:val="24"/>
          <w:szCs w:val="24"/>
        </w:rPr>
        <w:t xml:space="preserve"> воспитательной работы, п. 5.2  ООП – Профессионалитет содержит план обучения на предприятии (на рабочем месте).</w:t>
      </w:r>
    </w:p>
    <w:p w:rsidR="001F7D7E" w:rsidRPr="001F7D7E" w:rsidRDefault="001F7D7E" w:rsidP="001F7D7E">
      <w:pPr>
        <w:suppressAutoHyphens w:val="0"/>
        <w:spacing w:line="240" w:lineRule="auto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b/>
          <w:sz w:val="24"/>
          <w:szCs w:val="24"/>
        </w:rPr>
        <w:t>ООП</w:t>
      </w:r>
      <w:r w:rsidR="006D499A">
        <w:rPr>
          <w:rFonts w:eastAsia="Times New Roman"/>
          <w:b/>
          <w:sz w:val="24"/>
          <w:szCs w:val="24"/>
        </w:rPr>
        <w:t>-П</w:t>
      </w:r>
      <w:r w:rsidRPr="001F7D7E">
        <w:rPr>
          <w:rFonts w:eastAsia="Times New Roman"/>
          <w:b/>
          <w:sz w:val="24"/>
          <w:szCs w:val="24"/>
        </w:rPr>
        <w:t xml:space="preserve"> СПО</w:t>
      </w:r>
      <w:r w:rsidRPr="001F7D7E">
        <w:rPr>
          <w:rFonts w:eastAsia="Times New Roman"/>
          <w:sz w:val="24"/>
          <w:szCs w:val="24"/>
        </w:rPr>
        <w:t xml:space="preserve">  имеет следующую </w:t>
      </w:r>
      <w:r w:rsidRPr="001F7D7E">
        <w:rPr>
          <w:rFonts w:eastAsia="Times New Roman"/>
          <w:b/>
          <w:sz w:val="24"/>
          <w:szCs w:val="24"/>
        </w:rPr>
        <w:t>структуру: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 xml:space="preserve">-  </w:t>
      </w:r>
      <w:r w:rsidR="003A64D3">
        <w:rPr>
          <w:rFonts w:eastAsia="Times New Roman"/>
          <w:sz w:val="24"/>
          <w:szCs w:val="24"/>
        </w:rPr>
        <w:t>общеобразовательный цикл</w:t>
      </w:r>
      <w:r w:rsidRPr="001F7D7E">
        <w:rPr>
          <w:rFonts w:eastAsia="Times New Roman"/>
          <w:sz w:val="24"/>
          <w:szCs w:val="24"/>
        </w:rPr>
        <w:t>;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 xml:space="preserve">–   </w:t>
      </w:r>
      <w:r w:rsidR="003A64D3">
        <w:rPr>
          <w:rFonts w:eastAsia="Times New Roman"/>
          <w:sz w:val="24"/>
          <w:szCs w:val="24"/>
        </w:rPr>
        <w:t>социально-гуманитарный цикл</w:t>
      </w:r>
      <w:r w:rsidRPr="001F7D7E">
        <w:rPr>
          <w:rFonts w:eastAsia="Times New Roman"/>
          <w:sz w:val="24"/>
          <w:szCs w:val="24"/>
        </w:rPr>
        <w:t>;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>–     профессиональный цикл;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t>– государственная итоговая аттестация, которая завершается присвоением квалификации:</w:t>
      </w:r>
    </w:p>
    <w:p w:rsidR="001F7D7E" w:rsidRPr="001F7D7E" w:rsidRDefault="001F7D7E" w:rsidP="001F7D7E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</w:rPr>
      </w:pPr>
      <w:r w:rsidRPr="001F7D7E">
        <w:rPr>
          <w:rFonts w:eastAsia="Times New Roman"/>
          <w:i/>
          <w:iCs/>
          <w:sz w:val="24"/>
          <w:szCs w:val="24"/>
        </w:rPr>
        <w:t>«Техник</w:t>
      </w:r>
      <w:r w:rsidR="003A64D3">
        <w:rPr>
          <w:rFonts w:eastAsia="Times New Roman"/>
          <w:i/>
          <w:iCs/>
          <w:sz w:val="24"/>
          <w:szCs w:val="24"/>
        </w:rPr>
        <w:t>-технолог</w:t>
      </w:r>
      <w:r w:rsidRPr="001F7D7E">
        <w:rPr>
          <w:rFonts w:eastAsia="Times New Roman"/>
          <w:i/>
          <w:iCs/>
          <w:sz w:val="24"/>
          <w:szCs w:val="24"/>
        </w:rPr>
        <w:t>»</w:t>
      </w:r>
    </w:p>
    <w:p w:rsidR="003A64D3" w:rsidRDefault="003A64D3" w:rsidP="00054015">
      <w:pPr>
        <w:suppressAutoHyphens w:val="0"/>
        <w:ind w:firstLine="0"/>
        <w:rPr>
          <w:sz w:val="24"/>
          <w:szCs w:val="24"/>
        </w:rPr>
      </w:pPr>
      <w:r w:rsidRPr="003A64D3">
        <w:rPr>
          <w:sz w:val="24"/>
          <w:szCs w:val="24"/>
        </w:rPr>
        <w:t xml:space="preserve">Формы обучения: </w:t>
      </w:r>
      <w:proofErr w:type="gramStart"/>
      <w:r w:rsidRPr="003A64D3">
        <w:rPr>
          <w:sz w:val="24"/>
          <w:szCs w:val="24"/>
        </w:rPr>
        <w:t>очная</w:t>
      </w:r>
      <w:proofErr w:type="gramEnd"/>
      <w:r w:rsidRPr="003A64D3">
        <w:rPr>
          <w:sz w:val="24"/>
          <w:szCs w:val="24"/>
        </w:rPr>
        <w:t xml:space="preserve"> </w:t>
      </w:r>
    </w:p>
    <w:p w:rsidR="003A64D3" w:rsidRDefault="003A64D3" w:rsidP="00054015">
      <w:pPr>
        <w:suppressAutoHyphens w:val="0"/>
        <w:ind w:firstLine="0"/>
        <w:rPr>
          <w:sz w:val="24"/>
          <w:szCs w:val="24"/>
        </w:rPr>
      </w:pPr>
      <w:r w:rsidRPr="003A64D3">
        <w:rPr>
          <w:sz w:val="24"/>
          <w:szCs w:val="24"/>
        </w:rPr>
        <w:t>Объем программы по освоению программы среднего профессионального образования на базе основного общего образования с одновременным получением 7 среднего общего образования: 4464 академических часа, со сроком обучения 2 года 10 месяцев.</w:t>
      </w:r>
    </w:p>
    <w:p w:rsidR="001F7D7E" w:rsidRPr="001F7D7E" w:rsidRDefault="001F7D7E" w:rsidP="00054015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lastRenderedPageBreak/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 Содержание рабочих программ обеспечивает эффективную самостоятельную работу обучающихся, предусматривает в целях реализации </w:t>
      </w:r>
      <w:proofErr w:type="spellStart"/>
      <w:r w:rsidRPr="001F7D7E">
        <w:rPr>
          <w:sz w:val="24"/>
          <w:szCs w:val="24"/>
        </w:rPr>
        <w:t>компетентностного</w:t>
      </w:r>
      <w:proofErr w:type="spellEnd"/>
      <w:r w:rsidRPr="001F7D7E">
        <w:rPr>
          <w:sz w:val="24"/>
          <w:szCs w:val="24"/>
        </w:rPr>
        <w:t xml:space="preserve"> подхода использование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>Основная профессиональная образовательная программа по специальности 15.02.</w:t>
      </w:r>
      <w:r w:rsidR="003A64D3">
        <w:rPr>
          <w:sz w:val="24"/>
          <w:szCs w:val="24"/>
        </w:rPr>
        <w:t>16</w:t>
      </w:r>
      <w:r w:rsidRPr="001F7D7E">
        <w:rPr>
          <w:sz w:val="24"/>
          <w:szCs w:val="24"/>
        </w:rPr>
        <w:t xml:space="preserve"> «Технология машиностроения» обеспечена учебно-методической документацией, материально-техническим и информационным фондом для проведения всех видов лабораторных и практических работ, дисциплинарной, междисциплинарной и модульной подготовки, всех видов практик.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B102F8" w:rsidRDefault="001F7D7E" w:rsidP="00B102F8">
      <w:pPr>
        <w:rPr>
          <w:sz w:val="24"/>
          <w:szCs w:val="24"/>
        </w:rPr>
      </w:pPr>
      <w:r w:rsidRPr="001F7D7E">
        <w:rPr>
          <w:rFonts w:eastAsia="Times New Roman"/>
          <w:sz w:val="24"/>
          <w:szCs w:val="24"/>
          <w:lang w:eastAsia="ru-RU"/>
        </w:rPr>
        <w:t>Целью (миссией) разработки образовательной программы среднего профессионального образования</w:t>
      </w:r>
      <w:r w:rsidR="004E2CFA">
        <w:rPr>
          <w:rFonts w:eastAsia="Times New Roman"/>
          <w:sz w:val="24"/>
          <w:szCs w:val="24"/>
          <w:lang w:eastAsia="ru-RU"/>
        </w:rPr>
        <w:t xml:space="preserve"> – Профессионалитет,</w:t>
      </w:r>
      <w:r w:rsidRPr="001F7D7E">
        <w:rPr>
          <w:rFonts w:eastAsia="Times New Roman"/>
          <w:sz w:val="24"/>
          <w:szCs w:val="24"/>
          <w:lang w:eastAsia="ru-RU"/>
        </w:rPr>
        <w:t xml:space="preserve"> подготовки специалистов среднего звена  по специальности </w:t>
      </w:r>
      <w:r w:rsidRPr="001F7D7E">
        <w:rPr>
          <w:rFonts w:eastAsia="Times New Roman"/>
          <w:bCs/>
          <w:sz w:val="24"/>
          <w:szCs w:val="24"/>
          <w:lang w:eastAsia="ru-RU"/>
        </w:rPr>
        <w:t>15.02.</w:t>
      </w:r>
      <w:r w:rsidR="004E2CFA">
        <w:rPr>
          <w:rFonts w:eastAsia="Times New Roman"/>
          <w:bCs/>
          <w:sz w:val="24"/>
          <w:szCs w:val="24"/>
          <w:lang w:eastAsia="ru-RU"/>
        </w:rPr>
        <w:t>16</w:t>
      </w:r>
      <w:r w:rsidRPr="001F7D7E">
        <w:rPr>
          <w:rFonts w:eastAsia="Times New Roman"/>
          <w:bCs/>
          <w:sz w:val="24"/>
          <w:szCs w:val="24"/>
          <w:lang w:eastAsia="ru-RU"/>
        </w:rPr>
        <w:t xml:space="preserve"> «Технология машиностроения»</w:t>
      </w:r>
      <w:r w:rsidRPr="001F7D7E">
        <w:rPr>
          <w:rFonts w:eastAsia="Times New Roman"/>
          <w:sz w:val="24"/>
          <w:szCs w:val="24"/>
          <w:lang w:eastAsia="ru-RU"/>
        </w:rPr>
        <w:t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</w:t>
      </w:r>
      <w:r w:rsidR="004E2CFA">
        <w:rPr>
          <w:rFonts w:eastAsia="Times New Roman"/>
          <w:sz w:val="24"/>
          <w:szCs w:val="24"/>
          <w:lang w:eastAsia="ru-RU"/>
        </w:rPr>
        <w:t xml:space="preserve"> и запросов работодателей</w:t>
      </w:r>
      <w:r w:rsidR="00B102F8" w:rsidRPr="00B102F8">
        <w:rPr>
          <w:sz w:val="24"/>
          <w:szCs w:val="24"/>
        </w:rPr>
        <w:t xml:space="preserve">. </w:t>
      </w:r>
    </w:p>
    <w:p w:rsidR="001F7D7E" w:rsidRPr="001F7D7E" w:rsidRDefault="001F7D7E" w:rsidP="001F7D7E">
      <w:pPr>
        <w:ind w:left="502" w:firstLine="0"/>
        <w:rPr>
          <w:b/>
          <w:sz w:val="24"/>
          <w:szCs w:val="24"/>
        </w:rPr>
      </w:pPr>
      <w:r w:rsidRPr="001F7D7E">
        <w:rPr>
          <w:b/>
          <w:sz w:val="24"/>
          <w:szCs w:val="24"/>
        </w:rPr>
        <w:t>Задачи программы: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  обеспечить  получение  качественных  базовых  гуманитарных,  социальных, экономических, математических знаний, востребованных обществом;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подготовить выпускников к успешной работе в сфере машиностроения;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</w:t>
      </w:r>
      <w:r w:rsidRPr="001F7D7E">
        <w:rPr>
          <w:sz w:val="24"/>
          <w:szCs w:val="24"/>
        </w:rPr>
        <w:tab/>
        <w:t>сформировать</w:t>
      </w:r>
      <w:r w:rsidRPr="001F7D7E">
        <w:rPr>
          <w:sz w:val="24"/>
          <w:szCs w:val="24"/>
        </w:rPr>
        <w:tab/>
        <w:t>социально-личностные</w:t>
      </w:r>
      <w:r w:rsidRPr="001F7D7E">
        <w:rPr>
          <w:sz w:val="24"/>
          <w:szCs w:val="24"/>
        </w:rPr>
        <w:tab/>
        <w:t>качества</w:t>
      </w:r>
      <w:r w:rsidRPr="001F7D7E">
        <w:rPr>
          <w:sz w:val="24"/>
          <w:szCs w:val="24"/>
        </w:rPr>
        <w:tab/>
        <w:t>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p w:rsidR="004E2CFA" w:rsidRDefault="004E2CFA" w:rsidP="004E2CFA">
      <w:pPr>
        <w:rPr>
          <w:sz w:val="24"/>
          <w:szCs w:val="24"/>
        </w:rPr>
      </w:pPr>
      <w:r w:rsidRPr="004E2CFA">
        <w:rPr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</w:t>
      </w:r>
      <w:r w:rsidRPr="004E2CFA">
        <w:rPr>
          <w:sz w:val="24"/>
          <w:szCs w:val="24"/>
        </w:rPr>
        <w:lastRenderedPageBreak/>
        <w:t xml:space="preserve">технологий. Квалификация, присваиваемая выпускникам образовательной программы: «техник-технолог».  </w:t>
      </w:r>
    </w:p>
    <w:p w:rsidR="004E2CFA" w:rsidRDefault="004E2CFA" w:rsidP="001F7D7E">
      <w:pPr>
        <w:rPr>
          <w:sz w:val="24"/>
          <w:szCs w:val="24"/>
        </w:rPr>
      </w:pPr>
      <w:r w:rsidRPr="004E2CFA">
        <w:rPr>
          <w:sz w:val="24"/>
          <w:szCs w:val="24"/>
        </w:rPr>
        <w:t>Направленность образовательной программы, при сетевой форме реализации программы, конкретизирует содержание образовательной программы путем ориентации на следующие виды деятельности</w:t>
      </w:r>
    </w:p>
    <w:p w:rsidR="00E32E2E" w:rsidRDefault="00E32E2E" w:rsidP="00E32E2E">
      <w:pPr>
        <w:rPr>
          <w:b/>
          <w:sz w:val="24"/>
          <w:szCs w:val="24"/>
        </w:rPr>
      </w:pPr>
      <w:r w:rsidRPr="00E32E2E">
        <w:rPr>
          <w:b/>
          <w:sz w:val="24"/>
          <w:szCs w:val="24"/>
        </w:rPr>
        <w:t>Виды  профессиональной  деятельности  выпускника: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4E2CFA" w:rsidTr="004E2CFA">
        <w:tc>
          <w:tcPr>
            <w:tcW w:w="3190" w:type="dxa"/>
          </w:tcPr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Наименование направленности (в соответствии с квалификацией работодателя)</w:t>
            </w:r>
          </w:p>
        </w:tc>
        <w:tc>
          <w:tcPr>
            <w:tcW w:w="6274" w:type="dxa"/>
          </w:tcPr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Вид деятельности (по выбору)</w:t>
            </w:r>
          </w:p>
        </w:tc>
      </w:tr>
      <w:tr w:rsidR="004E2CFA" w:rsidTr="00597020">
        <w:tc>
          <w:tcPr>
            <w:tcW w:w="9464" w:type="dxa"/>
            <w:gridSpan w:val="2"/>
          </w:tcPr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«Калужский турбинный завод»</w:t>
            </w:r>
          </w:p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ПАО «Калужский двигатель»</w:t>
            </w:r>
          </w:p>
          <w:p w:rsidR="004E2CFA" w:rsidRDefault="004E2CFA" w:rsidP="004E2CFA">
            <w:pPr>
              <w:ind w:firstLine="0"/>
              <w:jc w:val="center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АО «</w:t>
            </w:r>
            <w:proofErr w:type="spellStart"/>
            <w:r w:rsidRPr="004E2CFA">
              <w:rPr>
                <w:sz w:val="24"/>
                <w:szCs w:val="24"/>
              </w:rPr>
              <w:t>Калугапутьмаш</w:t>
            </w:r>
            <w:proofErr w:type="spellEnd"/>
            <w:r w:rsidRPr="004E2CFA">
              <w:rPr>
                <w:sz w:val="24"/>
                <w:szCs w:val="24"/>
              </w:rPr>
              <w:t>»</w:t>
            </w:r>
          </w:p>
        </w:tc>
      </w:tr>
      <w:tr w:rsidR="004E2CFA" w:rsidTr="004E0D79">
        <w:tc>
          <w:tcPr>
            <w:tcW w:w="9464" w:type="dxa"/>
            <w:gridSpan w:val="2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 xml:space="preserve">ВД, </w:t>
            </w:r>
            <w:proofErr w:type="gramStart"/>
            <w:r w:rsidRPr="004E2CFA">
              <w:rPr>
                <w:sz w:val="24"/>
                <w:szCs w:val="24"/>
              </w:rPr>
              <w:t>сформированные</w:t>
            </w:r>
            <w:proofErr w:type="gramEnd"/>
            <w:r w:rsidRPr="004E2CFA">
              <w:rPr>
                <w:sz w:val="24"/>
                <w:szCs w:val="24"/>
              </w:rPr>
              <w:t xml:space="preserve"> ОО совместно с работодателями</w:t>
            </w:r>
          </w:p>
        </w:tc>
      </w:tr>
      <w:tr w:rsidR="004E2CFA" w:rsidTr="004E2CFA">
        <w:tc>
          <w:tcPr>
            <w:tcW w:w="3190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Холодная обработка металлов резанием</w:t>
            </w:r>
          </w:p>
        </w:tc>
        <w:tc>
          <w:tcPr>
            <w:tcW w:w="6274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 xml:space="preserve">ВД 01. Разработка технологических процессов изготовления деталей машин </w:t>
            </w:r>
          </w:p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ВД 02. Разработка и внедрение управляющих программ изготовления деталей машин в машиностроительном производстве</w:t>
            </w:r>
          </w:p>
        </w:tc>
      </w:tr>
      <w:tr w:rsidR="004E2CFA" w:rsidTr="004E2CFA">
        <w:tc>
          <w:tcPr>
            <w:tcW w:w="3190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 xml:space="preserve">3D моделирование и </w:t>
            </w:r>
            <w:proofErr w:type="spellStart"/>
            <w:r w:rsidRPr="004E2CFA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6274" w:type="dxa"/>
          </w:tcPr>
          <w:p w:rsidR="004E2CFA" w:rsidRDefault="004E2CFA" w:rsidP="00E32E2E">
            <w:pPr>
              <w:ind w:firstLine="0"/>
              <w:rPr>
                <w:sz w:val="24"/>
                <w:szCs w:val="24"/>
              </w:rPr>
            </w:pPr>
            <w:r w:rsidRPr="004E2CFA">
              <w:rPr>
                <w:sz w:val="24"/>
                <w:szCs w:val="24"/>
              </w:rPr>
              <w:t>ВД 06. Разработка технологических процессов и управляющих программ для изготовления деталей в аддитивных производствах, в том числе автоматизированных</w:t>
            </w:r>
          </w:p>
        </w:tc>
      </w:tr>
    </w:tbl>
    <w:p w:rsidR="004E2CFA" w:rsidRPr="00E32E2E" w:rsidRDefault="004E2CFA" w:rsidP="00E32E2E">
      <w:pPr>
        <w:rPr>
          <w:sz w:val="24"/>
          <w:szCs w:val="24"/>
        </w:rPr>
      </w:pP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0" w:name="sub_1005"/>
      <w:r w:rsidRPr="00B102F8">
        <w:rPr>
          <w:sz w:val="24"/>
          <w:szCs w:val="24"/>
        </w:rPr>
        <w:lastRenderedPageBreak/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6D499A" w:rsidRPr="006D499A">
        <w:rPr>
          <w:sz w:val="24"/>
          <w:szCs w:val="24"/>
        </w:rPr>
        <w:t>ООП-П</w:t>
      </w:r>
      <w:r w:rsidRPr="00B102F8">
        <w:rPr>
          <w:sz w:val="24"/>
          <w:szCs w:val="24"/>
        </w:rPr>
        <w:t>.</w:t>
      </w:r>
      <w:bookmarkEnd w:id="0"/>
    </w:p>
    <w:p w:rsidR="00892CE1" w:rsidRPr="00892CE1" w:rsidRDefault="00054015" w:rsidP="00892C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Умения</w:t>
      </w:r>
      <w:r w:rsidR="00892CE1" w:rsidRPr="00892CE1">
        <w:rPr>
          <w:sz w:val="24"/>
          <w:szCs w:val="24"/>
        </w:rPr>
        <w:t xml:space="preserve"> и знания обучающихся</w:t>
      </w:r>
      <w:r w:rsidR="004E2CFA">
        <w:rPr>
          <w:sz w:val="24"/>
          <w:szCs w:val="24"/>
        </w:rPr>
        <w:t>, полученные при изучении учебных дисциплин общеобразовательного цикла</w:t>
      </w:r>
      <w:r w:rsidR="00892CE1" w:rsidRPr="00892CE1">
        <w:rPr>
          <w:sz w:val="24"/>
          <w:szCs w:val="24"/>
        </w:rPr>
        <w:t xml:space="preserve"> углубляются и расширяются при изучении дисциплин </w:t>
      </w:r>
      <w:r w:rsidR="004E2CFA">
        <w:rPr>
          <w:sz w:val="24"/>
          <w:szCs w:val="24"/>
        </w:rPr>
        <w:t xml:space="preserve">социально-гуманитарного </w:t>
      </w:r>
      <w:r w:rsidR="00892CE1" w:rsidRPr="00892CE1">
        <w:rPr>
          <w:sz w:val="24"/>
          <w:szCs w:val="24"/>
        </w:rPr>
        <w:t>и профессионального учебных циклов ППССЗ.</w:t>
      </w:r>
      <w:proofErr w:type="gramEnd"/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6D499A" w:rsidRPr="006D499A">
        <w:rPr>
          <w:rFonts w:eastAsia="@Arial Unicode MS"/>
          <w:bCs/>
          <w:sz w:val="24"/>
          <w:szCs w:val="24"/>
          <w:lang w:eastAsia="ru-RU"/>
        </w:rPr>
        <w:t>ООП-П</w:t>
      </w:r>
      <w:bookmarkStart w:id="1" w:name="_GoBack"/>
      <w:bookmarkEnd w:id="1"/>
      <w:r w:rsidRPr="00064B9A">
        <w:rPr>
          <w:rFonts w:eastAsia="@Arial Unicode MS"/>
          <w:bCs/>
          <w:sz w:val="24"/>
          <w:szCs w:val="24"/>
          <w:lang w:eastAsia="ru-RU"/>
        </w:rPr>
        <w:t xml:space="preserve"> С</w:t>
      </w:r>
      <w:r w:rsidR="0050181A">
        <w:rPr>
          <w:rFonts w:eastAsia="@Arial Unicode MS"/>
          <w:bCs/>
          <w:sz w:val="24"/>
          <w:szCs w:val="24"/>
          <w:lang w:eastAsia="ru-RU"/>
        </w:rPr>
        <w:t>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82397"/>
    <w:multiLevelType w:val="multilevel"/>
    <w:tmpl w:val="6BE6B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4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54015"/>
    <w:rsid w:val="00064603"/>
    <w:rsid w:val="000852BB"/>
    <w:rsid w:val="000A13CA"/>
    <w:rsid w:val="00132C4A"/>
    <w:rsid w:val="00177092"/>
    <w:rsid w:val="001F3D4B"/>
    <w:rsid w:val="001F7D7E"/>
    <w:rsid w:val="002C033B"/>
    <w:rsid w:val="002D1068"/>
    <w:rsid w:val="003A64D3"/>
    <w:rsid w:val="004074EB"/>
    <w:rsid w:val="00432752"/>
    <w:rsid w:val="004D269F"/>
    <w:rsid w:val="004E2CFA"/>
    <w:rsid w:val="004E7E9B"/>
    <w:rsid w:val="0050181A"/>
    <w:rsid w:val="00656E15"/>
    <w:rsid w:val="0066094E"/>
    <w:rsid w:val="00672081"/>
    <w:rsid w:val="006D499A"/>
    <w:rsid w:val="006F08CC"/>
    <w:rsid w:val="00812B35"/>
    <w:rsid w:val="00864828"/>
    <w:rsid w:val="00892CE1"/>
    <w:rsid w:val="008B78C5"/>
    <w:rsid w:val="00B102F8"/>
    <w:rsid w:val="00B41BA8"/>
    <w:rsid w:val="00CB2E70"/>
    <w:rsid w:val="00CF483D"/>
    <w:rsid w:val="00D3374D"/>
    <w:rsid w:val="00D41F9A"/>
    <w:rsid w:val="00E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paragraph" w:styleId="aa">
    <w:name w:val="No Spacing"/>
    <w:uiPriority w:val="1"/>
    <w:qFormat/>
    <w:rsid w:val="001F7D7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2"/>
    <w:uiPriority w:val="59"/>
    <w:rsid w:val="004E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paragraph" w:styleId="aa">
    <w:name w:val="No Spacing"/>
    <w:uiPriority w:val="1"/>
    <w:qFormat/>
    <w:rsid w:val="001F7D7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2"/>
    <w:uiPriority w:val="59"/>
    <w:rsid w:val="004E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8</cp:revision>
  <cp:lastPrinted>2022-12-14T08:53:00Z</cp:lastPrinted>
  <dcterms:created xsi:type="dcterms:W3CDTF">2022-12-14T08:58:00Z</dcterms:created>
  <dcterms:modified xsi:type="dcterms:W3CDTF">2022-12-14T11:42:00Z</dcterms:modified>
</cp:coreProperties>
</file>